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BB" w:rsidRDefault="007F00BB"/>
    <w:p w:rsidR="00CB5B6A" w:rsidRDefault="00CB5B6A">
      <w:r>
        <w:t>Extended stay charges – the assumptions</w:t>
      </w:r>
    </w:p>
    <w:p w:rsidR="00CB5B6A" w:rsidRDefault="00CB5B6A" w:rsidP="00CB5B6A">
      <w:pPr>
        <w:pStyle w:val="ListParagraph"/>
        <w:numPr>
          <w:ilvl w:val="0"/>
          <w:numId w:val="1"/>
        </w:numPr>
      </w:pPr>
      <w:r>
        <w:t>There will be about 150 continuous cruisers regularly paying extended stay charges.</w:t>
      </w:r>
    </w:p>
    <w:p w:rsidR="00FA5066" w:rsidRDefault="00FA5066" w:rsidP="00CB5B6A">
      <w:pPr>
        <w:pStyle w:val="ListParagraph"/>
        <w:numPr>
          <w:ilvl w:val="0"/>
          <w:numId w:val="1"/>
        </w:numPr>
      </w:pPr>
      <w:r>
        <w:t>There will be about 3,450 extended stay charges generated pa.</w:t>
      </w:r>
    </w:p>
    <w:p w:rsidR="00CB5B6A" w:rsidRDefault="00FA5066" w:rsidP="00CB5B6A">
      <w:pPr>
        <w:pStyle w:val="ListParagraph"/>
        <w:numPr>
          <w:ilvl w:val="0"/>
          <w:numId w:val="1"/>
        </w:numPr>
      </w:pPr>
      <w:r>
        <w:t>About one fifth will be paid retrospectively.</w:t>
      </w:r>
    </w:p>
    <w:p w:rsidR="00CB5B6A" w:rsidRDefault="00FA5066" w:rsidP="00CB5B6A">
      <w:pPr>
        <w:pStyle w:val="ListParagraph"/>
        <w:numPr>
          <w:ilvl w:val="0"/>
          <w:numId w:val="1"/>
        </w:numPr>
      </w:pPr>
      <w:r>
        <w:t>Four</w:t>
      </w:r>
      <w:r w:rsidR="00CB5B6A">
        <w:t xml:space="preserve"> data collectors are required at a £</w:t>
      </w:r>
      <w:r>
        <w:t>15</w:t>
      </w:r>
      <w:r w:rsidR="00CB5B6A">
        <w:t>,</w:t>
      </w:r>
      <w:r>
        <w:t>25</w:t>
      </w:r>
      <w:r w:rsidR="00CB5B6A">
        <w:t>0pa (including on costs)</w:t>
      </w:r>
    </w:p>
    <w:p w:rsidR="00CB5B6A" w:rsidRDefault="00E01447" w:rsidP="00CB5B6A">
      <w:pPr>
        <w:pStyle w:val="ListParagraph"/>
        <w:numPr>
          <w:ilvl w:val="0"/>
          <w:numId w:val="1"/>
        </w:numPr>
      </w:pPr>
      <w:r>
        <w:t>In the land-based car parking context, pay by mobile companies take, approximately, 10% of each transaction. The figure varies depending on frequency and value of transaction. For this purpose a 15% estimate is used.</w:t>
      </w:r>
    </w:p>
    <w:p w:rsidR="00E01447" w:rsidRDefault="00E01447" w:rsidP="00E01447">
      <w:r>
        <w:t>Based on this the following figures, enabling us to cover the cost of extra data collectors and the provision of payment facilities, are arrived at:</w:t>
      </w:r>
    </w:p>
    <w:p w:rsidR="00CB5B6A" w:rsidRDefault="00E01447" w:rsidP="00CB5B6A">
      <w:pPr>
        <w:rPr>
          <w:b/>
        </w:rPr>
      </w:pPr>
      <w:r>
        <w:rPr>
          <w:b/>
        </w:rPr>
        <w:t>Costs (pa):</w:t>
      </w:r>
    </w:p>
    <w:p w:rsidR="00E01447" w:rsidRPr="00E01447" w:rsidRDefault="00E01447" w:rsidP="00CB5B6A">
      <w:r w:rsidRPr="00E01447">
        <w:t>£6</w:t>
      </w:r>
      <w:r w:rsidR="00FA5066">
        <w:t>1</w:t>
      </w:r>
      <w:r w:rsidRPr="00E01447">
        <w:t>,</w:t>
      </w:r>
      <w:r w:rsidR="00FA5066">
        <w:t>00</w:t>
      </w:r>
      <w:r w:rsidRPr="00E01447">
        <w:t>0 Data Collect</w:t>
      </w:r>
      <w:r w:rsidR="00FA5066">
        <w:t>ors x 4 (on a pro rata contract)</w:t>
      </w:r>
    </w:p>
    <w:p w:rsidR="00D21701" w:rsidRDefault="00E01447" w:rsidP="00D21701">
      <w:r>
        <w:t>15% transaction cost (dependent on price of extended stay charge</w:t>
      </w:r>
      <w:r w:rsidR="00D21701">
        <w:t>, but based on figures below it would be £1</w:t>
      </w:r>
      <w:r w:rsidR="00FA5066">
        <w:t>1</w:t>
      </w:r>
      <w:r w:rsidR="00D21701">
        <w:t>,</w:t>
      </w:r>
      <w:r w:rsidR="00FA5066">
        <w:t>2</w:t>
      </w:r>
      <w:r w:rsidR="00D21701">
        <w:t>50)</w:t>
      </w:r>
    </w:p>
    <w:p w:rsidR="00D21701" w:rsidRDefault="00FA5066" w:rsidP="00D21701">
      <w:r>
        <w:t>Total costs = £72</w:t>
      </w:r>
      <w:r w:rsidR="00D21701">
        <w:t>,</w:t>
      </w:r>
      <w:r>
        <w:t>25</w:t>
      </w:r>
      <w:r w:rsidR="00D21701">
        <w:t>0</w:t>
      </w:r>
    </w:p>
    <w:p w:rsidR="00E01447" w:rsidRDefault="00E01447" w:rsidP="00CB5B6A">
      <w:pPr>
        <w:rPr>
          <w:b/>
        </w:rPr>
      </w:pPr>
      <w:r>
        <w:rPr>
          <w:b/>
        </w:rPr>
        <w:t>Income (pa):</w:t>
      </w:r>
    </w:p>
    <w:p w:rsidR="00E01447" w:rsidRDefault="00541B42" w:rsidP="00CB5B6A">
      <w:r>
        <w:t>150 boaters paying 15</w:t>
      </w:r>
      <w:r w:rsidR="00E01447">
        <w:t xml:space="preserve"> extended stay charges pa @ £</w:t>
      </w:r>
      <w:r>
        <w:t>20</w:t>
      </w:r>
      <w:r w:rsidR="00E01447">
        <w:t xml:space="preserve"> = £</w:t>
      </w:r>
      <w:r w:rsidR="00D21701">
        <w:t>45</w:t>
      </w:r>
      <w:r w:rsidR="00E01447">
        <w:t xml:space="preserve">,000 </w:t>
      </w:r>
    </w:p>
    <w:p w:rsidR="00D21701" w:rsidRDefault="00FA5066" w:rsidP="00CB5B6A">
      <w:r>
        <w:t>150 boaters paying 4</w:t>
      </w:r>
      <w:r w:rsidR="00D21701">
        <w:t xml:space="preserve"> extended stay </w:t>
      </w:r>
      <w:r>
        <w:t>charges pa @ £40 = £</w:t>
      </w:r>
      <w:r w:rsidR="00AD6D85">
        <w:t>24</w:t>
      </w:r>
      <w:r w:rsidR="00D21701">
        <w:t>,000</w:t>
      </w:r>
    </w:p>
    <w:p w:rsidR="00D21701" w:rsidRDefault="00FA5066" w:rsidP="00CB5B6A">
      <w:r>
        <w:t>Total income = £</w:t>
      </w:r>
      <w:r w:rsidR="00AD6D85">
        <w:t>69</w:t>
      </w:r>
      <w:r w:rsidR="00D21701">
        <w:t>,000</w:t>
      </w:r>
    </w:p>
    <w:p w:rsidR="00D21701" w:rsidRDefault="00D21701" w:rsidP="00CB5B6A"/>
    <w:p w:rsidR="00D21701" w:rsidRPr="00D21701" w:rsidRDefault="00D21701" w:rsidP="00CB5B6A">
      <w:pPr>
        <w:rPr>
          <w:i/>
        </w:rPr>
      </w:pPr>
      <w:r w:rsidRPr="00D21701">
        <w:rPr>
          <w:i/>
        </w:rPr>
        <w:t xml:space="preserve">This would give us a nominal </w:t>
      </w:r>
      <w:r w:rsidR="00AD6D85">
        <w:rPr>
          <w:i/>
        </w:rPr>
        <w:t>deficit</w:t>
      </w:r>
      <w:r w:rsidRPr="00D21701">
        <w:rPr>
          <w:i/>
        </w:rPr>
        <w:t xml:space="preserve"> of £</w:t>
      </w:r>
      <w:r w:rsidR="00AD6D85">
        <w:rPr>
          <w:i/>
        </w:rPr>
        <w:t>3,250</w:t>
      </w:r>
      <w:bookmarkStart w:id="0" w:name="_GoBack"/>
      <w:bookmarkEnd w:id="0"/>
      <w:r w:rsidRPr="00D21701">
        <w:rPr>
          <w:i/>
        </w:rPr>
        <w:t>.</w:t>
      </w:r>
    </w:p>
    <w:p w:rsidR="00D21701" w:rsidRDefault="00D21701"/>
    <w:p w:rsidR="00F42C49" w:rsidRDefault="00F42C49">
      <w:pPr>
        <w:rPr>
          <w:b/>
        </w:rPr>
      </w:pPr>
      <w:r>
        <w:rPr>
          <w:b/>
        </w:rPr>
        <w:t>Boater costs.</w:t>
      </w:r>
    </w:p>
    <w:p w:rsidR="00F42C49" w:rsidRDefault="00F42C49">
      <w:r>
        <w:t>If the price per charge above is used (and the average boater</w:t>
      </w:r>
      <w:r w:rsidR="00B77BAD">
        <w:t xml:space="preserve"> fits the pre</w:t>
      </w:r>
      <w:r w:rsidR="00FA5066">
        <w:t>diction) this will equate to £46</w:t>
      </w:r>
      <w:r w:rsidR="00B77BAD">
        <w:t>0 pa in extended stay charges per boat.</w:t>
      </w:r>
    </w:p>
    <w:p w:rsidR="00B77BAD" w:rsidRDefault="00B77BAD">
      <w:r>
        <w:t xml:space="preserve">The maximum number of days a boater can extend their stay by in any 12 month period is 182. This is because of the movement </w:t>
      </w:r>
      <w:proofErr w:type="gramStart"/>
      <w:r>
        <w:t>rules  -</w:t>
      </w:r>
      <w:proofErr w:type="gramEnd"/>
      <w:r>
        <w:t xml:space="preserve"> in particular the one which says a CC’er must be in a different neighbourhood every 14 days. If a they wanted to, a boater could extend their stay in a seven day zone by seven days (thereby using up their 14 day-in-one-go entitlement), in theory they could do this all year long – they would still have to move from neighbourhood to neighbourhood and not spend more than 61 days in any single one (over a 12 month period). If they did </w:t>
      </w:r>
      <w:r w:rsidR="00541B42">
        <w:t>do this it would cost them £3,640</w:t>
      </w:r>
      <w:r>
        <w:t xml:space="preserve"> if paid on the day @ £</w:t>
      </w:r>
      <w:r w:rsidR="00541B42">
        <w:t>20</w:t>
      </w:r>
      <w:r>
        <w:t xml:space="preserve"> per day.</w:t>
      </w:r>
    </w:p>
    <w:p w:rsidR="00D860EA" w:rsidRDefault="00D860EA">
      <w:pPr>
        <w:rPr>
          <w:b/>
        </w:rPr>
      </w:pPr>
      <w:r>
        <w:rPr>
          <w:b/>
        </w:rPr>
        <w:lastRenderedPageBreak/>
        <w:t>Other BW costs:</w:t>
      </w:r>
    </w:p>
    <w:p w:rsidR="00D860EA" w:rsidRDefault="00D860EA" w:rsidP="00D860EA">
      <w:pPr>
        <w:pStyle w:val="ListParagraph"/>
        <w:numPr>
          <w:ilvl w:val="0"/>
          <w:numId w:val="2"/>
        </w:numPr>
      </w:pPr>
      <w:r>
        <w:t>Boating co-ordinator will have to spend time, on a weekly basis, checking a report produced by the new boat sighting system that is under-development. The boating co-ordinator will use the report to verify who has accrued a charge and who has/hasn’t paid for it on the day. For those unpaid charges an invoice will have to be raised.</w:t>
      </w:r>
    </w:p>
    <w:p w:rsidR="00D860EA" w:rsidRDefault="00D860EA" w:rsidP="00D860EA">
      <w:pPr>
        <w:pStyle w:val="ListParagraph"/>
        <w:numPr>
          <w:ilvl w:val="0"/>
          <w:numId w:val="2"/>
        </w:numPr>
      </w:pPr>
      <w:r>
        <w:t>In the event of non-payment, credit control will be initiated by SSC.</w:t>
      </w:r>
    </w:p>
    <w:p w:rsidR="00D860EA" w:rsidRDefault="00D860EA" w:rsidP="00D860EA">
      <w:pPr>
        <w:pStyle w:val="ListParagraph"/>
        <w:numPr>
          <w:ilvl w:val="0"/>
          <w:numId w:val="2"/>
        </w:numPr>
      </w:pPr>
      <w:r>
        <w:t>Capital investment in back office systems</w:t>
      </w:r>
      <w:r w:rsidR="000F146E">
        <w:t xml:space="preserve">, onsite signage and </w:t>
      </w:r>
      <w:proofErr w:type="spellStart"/>
      <w:r w:rsidR="000F146E">
        <w:t>marcomms</w:t>
      </w:r>
      <w:proofErr w:type="spellEnd"/>
      <w:r w:rsidR="000F146E">
        <w:t xml:space="preserve">. </w:t>
      </w:r>
    </w:p>
    <w:p w:rsidR="00D860EA" w:rsidRPr="00D860EA" w:rsidRDefault="00D860EA" w:rsidP="00D860EA">
      <w:pPr>
        <w:pStyle w:val="ListParagraph"/>
        <w:numPr>
          <w:ilvl w:val="0"/>
          <w:numId w:val="2"/>
        </w:numPr>
      </w:pPr>
      <w:r>
        <w:t>Contractor management.</w:t>
      </w:r>
    </w:p>
    <w:p w:rsidR="00D860EA" w:rsidRPr="00D860EA" w:rsidRDefault="00D860EA"/>
    <w:sectPr w:rsidR="00D860EA" w:rsidRPr="00D8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CB6"/>
    <w:multiLevelType w:val="hybridMultilevel"/>
    <w:tmpl w:val="3CA4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E73FF"/>
    <w:multiLevelType w:val="hybridMultilevel"/>
    <w:tmpl w:val="B5FE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6A"/>
    <w:rsid w:val="000F146E"/>
    <w:rsid w:val="002C2F36"/>
    <w:rsid w:val="00541B42"/>
    <w:rsid w:val="007F00BB"/>
    <w:rsid w:val="00AD6D85"/>
    <w:rsid w:val="00B77BAD"/>
    <w:rsid w:val="00CB5B6A"/>
    <w:rsid w:val="00D21701"/>
    <w:rsid w:val="00D860EA"/>
    <w:rsid w:val="00E01447"/>
    <w:rsid w:val="00F42C49"/>
    <w:rsid w:val="00F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Waterways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Kemp</dc:creator>
  <cp:lastModifiedBy>Damian Kemp</cp:lastModifiedBy>
  <cp:revision>4</cp:revision>
  <dcterms:created xsi:type="dcterms:W3CDTF">2011-02-14T15:40:00Z</dcterms:created>
  <dcterms:modified xsi:type="dcterms:W3CDTF">2011-02-14T15:55:00Z</dcterms:modified>
</cp:coreProperties>
</file>